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116" w:type="dxa"/>
        <w:tblLook w:val="04A0" w:firstRow="1" w:lastRow="0" w:firstColumn="1" w:lastColumn="0" w:noHBand="0" w:noVBand="1"/>
      </w:tblPr>
      <w:tblGrid>
        <w:gridCol w:w="4531"/>
        <w:gridCol w:w="1134"/>
        <w:gridCol w:w="5150"/>
        <w:gridCol w:w="5150"/>
        <w:gridCol w:w="5151"/>
      </w:tblGrid>
      <w:tr w:rsidR="00CA4A2C" w:rsidRPr="009371B4" w14:paraId="0D0FC24B" w14:textId="77777777" w:rsidTr="00B658DE">
        <w:trPr>
          <w:trHeight w:val="558"/>
          <w:tblHeader/>
        </w:trPr>
        <w:tc>
          <w:tcPr>
            <w:tcW w:w="4531" w:type="dxa"/>
            <w:shd w:val="clear" w:color="auto" w:fill="E2EFD9" w:themeFill="accent6" w:themeFillTint="33"/>
            <w:vAlign w:val="center"/>
          </w:tcPr>
          <w:p w14:paraId="3DF1ED2A" w14:textId="400B8904" w:rsidR="00CA4A2C" w:rsidRPr="00FC7271" w:rsidRDefault="00CA4A2C" w:rsidP="00CA4A2C">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検討項目</w:t>
            </w:r>
          </w:p>
        </w:tc>
        <w:tc>
          <w:tcPr>
            <w:tcW w:w="1134" w:type="dxa"/>
            <w:shd w:val="clear" w:color="auto" w:fill="E2EFD9" w:themeFill="accent6" w:themeFillTint="33"/>
            <w:vAlign w:val="center"/>
          </w:tcPr>
          <w:p w14:paraId="5B608BE4" w14:textId="36085472" w:rsidR="00CA4A2C" w:rsidRPr="00CA4A2C" w:rsidRDefault="00CA4A2C" w:rsidP="00CA4A2C">
            <w:pPr>
              <w:spacing w:line="0" w:lineRule="atLeast"/>
              <w:jc w:val="center"/>
              <w:rPr>
                <w:rFonts w:ascii="ＭＳ Ｐゴシック" w:eastAsia="ＭＳ Ｐゴシック" w:hAnsi="ＭＳ Ｐゴシック"/>
                <w:b/>
                <w:bCs/>
                <w:sz w:val="18"/>
                <w:szCs w:val="18"/>
              </w:rPr>
            </w:pPr>
            <w:r w:rsidRPr="003C3B1E">
              <w:rPr>
                <w:rFonts w:ascii="ＭＳ Ｐゴシック" w:eastAsia="ＭＳ Ｐゴシック" w:hAnsi="ＭＳ Ｐゴシック" w:hint="eastAsia"/>
                <w:b/>
                <w:bCs/>
                <w:sz w:val="18"/>
                <w:szCs w:val="18"/>
              </w:rPr>
              <w:t>運用ﾏﾆｭｱﾙ参照ページ</w:t>
            </w:r>
          </w:p>
        </w:tc>
        <w:tc>
          <w:tcPr>
            <w:tcW w:w="5150" w:type="dxa"/>
            <w:shd w:val="clear" w:color="auto" w:fill="E2EFD9" w:themeFill="accent6" w:themeFillTint="33"/>
            <w:vAlign w:val="center"/>
          </w:tcPr>
          <w:p w14:paraId="21E38252" w14:textId="77777777" w:rsidR="00CA4A2C" w:rsidRPr="00FC7271" w:rsidRDefault="00CA4A2C" w:rsidP="00CA4A2C">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実施</w:t>
            </w:r>
            <w:r w:rsidRPr="00FC7271">
              <w:rPr>
                <w:rFonts w:ascii="ＭＳ Ｐゴシック" w:eastAsia="ＭＳ Ｐゴシック" w:hAnsi="ＭＳ Ｐゴシック" w:hint="eastAsia"/>
                <w:b/>
                <w:bCs/>
                <w:sz w:val="20"/>
                <w:szCs w:val="20"/>
              </w:rPr>
              <w:t>状況</w:t>
            </w:r>
            <w:r>
              <w:rPr>
                <w:rFonts w:ascii="ＭＳ Ｐゴシック" w:eastAsia="ＭＳ Ｐゴシック" w:hAnsi="ＭＳ Ｐゴシック" w:hint="eastAsia"/>
                <w:b/>
                <w:bCs/>
                <w:sz w:val="20"/>
                <w:szCs w:val="20"/>
              </w:rPr>
              <w:t>／検討内容</w:t>
            </w:r>
          </w:p>
        </w:tc>
        <w:tc>
          <w:tcPr>
            <w:tcW w:w="5150" w:type="dxa"/>
            <w:shd w:val="clear" w:color="auto" w:fill="E2EFD9" w:themeFill="accent6" w:themeFillTint="33"/>
            <w:vAlign w:val="center"/>
          </w:tcPr>
          <w:p w14:paraId="300B4B1F" w14:textId="77777777" w:rsidR="00CA4A2C" w:rsidRPr="00FC7271" w:rsidRDefault="00CA4A2C" w:rsidP="00CA4A2C">
            <w:pPr>
              <w:spacing w:line="280" w:lineRule="exact"/>
              <w:jc w:val="center"/>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課題</w:t>
            </w:r>
          </w:p>
        </w:tc>
        <w:tc>
          <w:tcPr>
            <w:tcW w:w="5151" w:type="dxa"/>
            <w:shd w:val="clear" w:color="auto" w:fill="E2EFD9" w:themeFill="accent6" w:themeFillTint="33"/>
            <w:vAlign w:val="center"/>
          </w:tcPr>
          <w:p w14:paraId="3C4DBB1B" w14:textId="725815F0" w:rsidR="00CA4A2C" w:rsidRPr="00FC7271" w:rsidRDefault="00CA4A2C" w:rsidP="00CA4A2C">
            <w:pPr>
              <w:spacing w:line="28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noProof/>
                <w:sz w:val="20"/>
                <w:szCs w:val="20"/>
              </w:rPr>
              <mc:AlternateContent>
                <mc:Choice Requires="wps">
                  <w:drawing>
                    <wp:anchor distT="0" distB="0" distL="114300" distR="114300" simplePos="0" relativeHeight="251659264" behindDoc="0" locked="0" layoutInCell="1" allowOverlap="1" wp14:anchorId="3EE96ECA" wp14:editId="16AA7CFC">
                      <wp:simplePos x="0" y="0"/>
                      <wp:positionH relativeFrom="column">
                        <wp:posOffset>2544445</wp:posOffset>
                      </wp:positionH>
                      <wp:positionV relativeFrom="paragraph">
                        <wp:posOffset>-525780</wp:posOffset>
                      </wp:positionV>
                      <wp:extent cx="746760" cy="309880"/>
                      <wp:effectExtent l="0" t="0" r="15240" b="13970"/>
                      <wp:wrapNone/>
                      <wp:docPr id="1" name="テキスト ボックス 1"/>
                      <wp:cNvGraphicFramePr/>
                      <a:graphic xmlns:a="http://schemas.openxmlformats.org/drawingml/2006/main">
                        <a:graphicData uri="http://schemas.microsoft.com/office/word/2010/wordprocessingShape">
                          <wps:wsp>
                            <wps:cNvSpPr txBox="1"/>
                            <wps:spPr>
                              <a:xfrm>
                                <a:off x="0" y="0"/>
                                <a:ext cx="746760" cy="309880"/>
                              </a:xfrm>
                              <a:prstGeom prst="rect">
                                <a:avLst/>
                              </a:prstGeom>
                              <a:solidFill>
                                <a:sysClr val="window" lastClr="FFFFFF"/>
                              </a:solidFill>
                              <a:ln w="6350">
                                <a:solidFill>
                                  <a:prstClr val="black"/>
                                </a:solidFill>
                              </a:ln>
                            </wps:spPr>
                            <wps:txbx>
                              <w:txbxContent>
                                <w:p w14:paraId="44BB254A" w14:textId="7122DB6C" w:rsidR="00CA4A2C" w:rsidRPr="003C3B1E" w:rsidRDefault="00CA4A2C" w:rsidP="00CA4A2C">
                                  <w:pPr>
                                    <w:jc w:val="center"/>
                                    <w:rPr>
                                      <w:rFonts w:ascii="ＭＳ ゴシック" w:eastAsia="ＭＳ ゴシック" w:hAnsi="ＭＳ ゴシック"/>
                                      <w:sz w:val="18"/>
                                    </w:rPr>
                                  </w:pPr>
                                  <w:r>
                                    <w:rPr>
                                      <w:rFonts w:ascii="ＭＳ ゴシック" w:eastAsia="ＭＳ ゴシック" w:hAnsi="ＭＳ ゴシック" w:hint="eastAsia"/>
                                      <w:sz w:val="18"/>
                                    </w:rPr>
                                    <w:t>IT</w:t>
                                  </w:r>
                                  <w:r>
                                    <w:rPr>
                                      <w:rFonts w:ascii="ＭＳ ゴシック" w:eastAsia="ＭＳ ゴシック" w:hAnsi="ＭＳ ゴシック"/>
                                      <w:sz w:val="18"/>
                                    </w:rPr>
                                    <w:t>業種</w:t>
                                  </w:r>
                                  <w:r w:rsidRPr="003C3B1E">
                                    <w:rPr>
                                      <w:rFonts w:ascii="ＭＳ ゴシック" w:eastAsia="ＭＳ ゴシック" w:hAnsi="ＭＳ ゴシック" w:hint="eastAsia"/>
                                      <w:sz w:val="18"/>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96ECA" id="_x0000_t202" coordsize="21600,21600" o:spt="202" path="m,l,21600r21600,l21600,xe">
                      <v:stroke joinstyle="miter"/>
                      <v:path gradientshapeok="t" o:connecttype="rect"/>
                    </v:shapetype>
                    <v:shape id="テキスト ボックス 1" o:spid="_x0000_s1026" type="#_x0000_t202" style="position:absolute;left:0;text-align:left;margin-left:200.35pt;margin-top:-41.4pt;width:58.8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" fillcolor="window" strokeweight=".5pt">
                      <v:textbox>
                        <w:txbxContent>
                          <w:p w14:paraId="44BB254A" w14:textId="7122DB6C" w:rsidR="00CA4A2C" w:rsidRPr="003C3B1E" w:rsidRDefault="00CA4A2C" w:rsidP="00CA4A2C">
                            <w:pPr>
                              <w:jc w:val="center"/>
                              <w:rPr>
                                <w:rFonts w:ascii="ＭＳ ゴシック" w:eastAsia="ＭＳ ゴシック" w:hAnsi="ＭＳ ゴシック"/>
                                <w:sz w:val="18"/>
                              </w:rPr>
                            </w:pPr>
                            <w:r>
                              <w:rPr>
                                <w:rFonts w:ascii="ＭＳ ゴシック" w:eastAsia="ＭＳ ゴシック" w:hAnsi="ＭＳ ゴシック" w:hint="eastAsia"/>
                                <w:sz w:val="18"/>
                              </w:rPr>
                              <w:t>IT</w:t>
                            </w:r>
                            <w:r>
                              <w:rPr>
                                <w:rFonts w:ascii="ＭＳ ゴシック" w:eastAsia="ＭＳ ゴシック" w:hAnsi="ＭＳ ゴシック"/>
                                <w:sz w:val="18"/>
                              </w:rPr>
                              <w:t>業種</w:t>
                            </w:r>
                            <w:r w:rsidRPr="003C3B1E">
                              <w:rPr>
                                <w:rFonts w:ascii="ＭＳ ゴシック" w:eastAsia="ＭＳ ゴシック" w:hAnsi="ＭＳ ゴシック" w:hint="eastAsia"/>
                                <w:sz w:val="18"/>
                              </w:rPr>
                              <w:t>版</w:t>
                            </w:r>
                          </w:p>
                        </w:txbxContent>
                      </v:textbox>
                    </v:shape>
                  </w:pict>
                </mc:Fallback>
              </mc:AlternateContent>
            </w:r>
            <w:r w:rsidRPr="00FC7271">
              <w:rPr>
                <w:rFonts w:ascii="ＭＳ Ｐゴシック" w:eastAsia="ＭＳ Ｐゴシック" w:hAnsi="ＭＳ Ｐゴシック" w:hint="eastAsia"/>
                <w:b/>
                <w:bCs/>
                <w:sz w:val="20"/>
                <w:szCs w:val="20"/>
              </w:rPr>
              <w:t>課題解決の方向性</w:t>
            </w:r>
          </w:p>
        </w:tc>
      </w:tr>
      <w:tr w:rsidR="000C2B8C" w:rsidRPr="009371B4" w14:paraId="23B7BA00" w14:textId="77777777" w:rsidTr="00191F04">
        <w:tc>
          <w:tcPr>
            <w:tcW w:w="21116" w:type="dxa"/>
            <w:gridSpan w:val="5"/>
            <w:tcBorders>
              <w:bottom w:val="nil"/>
            </w:tcBorders>
            <w:shd w:val="clear" w:color="auto" w:fill="EDEDED" w:themeFill="accent3" w:themeFillTint="33"/>
          </w:tcPr>
          <w:p w14:paraId="309D75AA" w14:textId="5EC51AF8" w:rsidR="000C2B8C" w:rsidRPr="00FC7271" w:rsidRDefault="000C2B8C" w:rsidP="00191F0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フェーズ１　制度導入を検討する</w:t>
            </w:r>
          </w:p>
        </w:tc>
      </w:tr>
      <w:tr w:rsidR="00A407AF" w:rsidRPr="009371B4" w14:paraId="31A26E9D" w14:textId="77777777" w:rsidTr="00B658DE">
        <w:trPr>
          <w:trHeight w:val="1701"/>
        </w:trPr>
        <w:tc>
          <w:tcPr>
            <w:tcW w:w="4531" w:type="dxa"/>
            <w:tcBorders>
              <w:top w:val="single" w:sz="4" w:space="0" w:color="auto"/>
            </w:tcBorders>
          </w:tcPr>
          <w:p w14:paraId="5A67512A"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①労働時間等に関わる現状の把握と課題の抽出</w:t>
            </w:r>
          </w:p>
          <w:p w14:paraId="48A196D1" w14:textId="77777777" w:rsidR="00A407AF" w:rsidRPr="008B7A81"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就業規則等の労働時間に関する規定</w:t>
            </w:r>
            <w:r>
              <w:rPr>
                <w:rFonts w:ascii="ＭＳ Ｐゴシック" w:eastAsia="ＭＳ Ｐゴシック" w:hAnsi="ＭＳ Ｐゴシック" w:hint="eastAsia"/>
                <w:color w:val="0070C0"/>
                <w:sz w:val="17"/>
                <w:szCs w:val="17"/>
              </w:rPr>
              <w:t>がどうなっているか確認しているか</w:t>
            </w:r>
          </w:p>
          <w:p w14:paraId="7A23B29A" w14:textId="77777777" w:rsidR="00A407AF" w:rsidRPr="008B7A81"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sidRPr="008B7A81">
              <w:rPr>
                <w:rFonts w:ascii="ＭＳ Ｐゴシック" w:eastAsia="ＭＳ Ｐゴシック" w:hAnsi="ＭＳ Ｐゴシック" w:hint="eastAsia"/>
                <w:color w:val="0070C0"/>
                <w:sz w:val="17"/>
                <w:szCs w:val="17"/>
              </w:rPr>
              <w:t>実労働時間、通勤時間</w:t>
            </w:r>
            <w:r>
              <w:rPr>
                <w:rFonts w:ascii="ＭＳ Ｐゴシック" w:eastAsia="ＭＳ Ｐゴシック" w:hAnsi="ＭＳ Ｐゴシック" w:hint="eastAsia"/>
                <w:color w:val="0070C0"/>
                <w:sz w:val="17"/>
                <w:szCs w:val="17"/>
              </w:rPr>
              <w:t>、</w:t>
            </w:r>
            <w:r w:rsidRPr="008B7A81">
              <w:rPr>
                <w:rFonts w:ascii="ＭＳ Ｐゴシック" w:eastAsia="ＭＳ Ｐゴシック" w:hAnsi="ＭＳ Ｐゴシック" w:hint="eastAsia"/>
                <w:color w:val="0070C0"/>
                <w:sz w:val="17"/>
                <w:szCs w:val="17"/>
              </w:rPr>
              <w:t>インターバル時間の実態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把握</w:t>
            </w:r>
            <w:r>
              <w:rPr>
                <w:rFonts w:ascii="ＭＳ Ｐゴシック" w:eastAsia="ＭＳ Ｐゴシック" w:hAnsi="ＭＳ Ｐゴシック" w:hint="eastAsia"/>
                <w:color w:val="0070C0"/>
                <w:sz w:val="17"/>
                <w:szCs w:val="17"/>
              </w:rPr>
              <w:t>しているか　等</w:t>
            </w:r>
          </w:p>
        </w:tc>
        <w:tc>
          <w:tcPr>
            <w:tcW w:w="1134" w:type="dxa"/>
          </w:tcPr>
          <w:p w14:paraId="4687C69D"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P.18～</w:t>
            </w:r>
          </w:p>
        </w:tc>
        <w:tc>
          <w:tcPr>
            <w:tcW w:w="5150" w:type="dxa"/>
          </w:tcPr>
          <w:p w14:paraId="61DB5ADC"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3739A45B"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39630941" w14:textId="3744A3CD"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・要検討事項、実施していない理由等：</w:t>
            </w:r>
          </w:p>
        </w:tc>
        <w:tc>
          <w:tcPr>
            <w:tcW w:w="5151" w:type="dxa"/>
          </w:tcPr>
          <w:p w14:paraId="2766E66B" w14:textId="5CB0E3FF"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A407AF" w:rsidRPr="009371B4" w14:paraId="5B158887" w14:textId="77777777" w:rsidTr="00B658DE">
        <w:trPr>
          <w:trHeight w:val="1701"/>
        </w:trPr>
        <w:tc>
          <w:tcPr>
            <w:tcW w:w="4531" w:type="dxa"/>
          </w:tcPr>
          <w:p w14:paraId="3F7A4B69"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②導入目的の明確化</w:t>
            </w:r>
          </w:p>
          <w:p w14:paraId="51ABD4D5" w14:textId="77777777" w:rsidR="00A407AF" w:rsidRPr="002043A5"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sidRPr="008B7A81">
              <w:rPr>
                <w:rFonts w:ascii="ＭＳ Ｐゴシック" w:eastAsia="ＭＳ Ｐゴシック" w:hAnsi="ＭＳ Ｐゴシック" w:hint="eastAsia"/>
                <w:color w:val="0070C0"/>
                <w:sz w:val="17"/>
                <w:szCs w:val="17"/>
              </w:rPr>
              <w:t>従業員の健康確保</w:t>
            </w:r>
            <w:r>
              <w:rPr>
                <w:rFonts w:ascii="ＭＳ Ｐゴシック" w:eastAsia="ＭＳ Ｐゴシック" w:hAnsi="ＭＳ Ｐゴシック" w:hint="eastAsia"/>
                <w:color w:val="0070C0"/>
                <w:sz w:val="17"/>
                <w:szCs w:val="17"/>
              </w:rPr>
              <w:t>というだけでなく</w:t>
            </w:r>
            <w:r w:rsidRPr="008B7A81">
              <w:rPr>
                <w:rFonts w:ascii="ＭＳ Ｐゴシック" w:eastAsia="ＭＳ Ｐゴシック" w:hAnsi="ＭＳ Ｐゴシック" w:hint="eastAsia"/>
                <w:color w:val="0070C0"/>
                <w:sz w:val="17"/>
                <w:szCs w:val="17"/>
              </w:rPr>
              <w:t>、経営にとってどのような意義があるか</w:t>
            </w:r>
            <w:r>
              <w:rPr>
                <w:rFonts w:ascii="ＭＳ Ｐゴシック" w:eastAsia="ＭＳ Ｐゴシック" w:hAnsi="ＭＳ Ｐゴシック" w:hint="eastAsia"/>
                <w:color w:val="0070C0"/>
                <w:sz w:val="17"/>
                <w:szCs w:val="17"/>
              </w:rPr>
              <w:t>を</w:t>
            </w:r>
            <w:r w:rsidRPr="008B7A81">
              <w:rPr>
                <w:rFonts w:ascii="ＭＳ Ｐゴシック" w:eastAsia="ＭＳ Ｐゴシック" w:hAnsi="ＭＳ Ｐゴシック" w:hint="eastAsia"/>
                <w:color w:val="0070C0"/>
                <w:sz w:val="17"/>
                <w:szCs w:val="17"/>
              </w:rPr>
              <w:t>確認</w:t>
            </w:r>
            <w:r>
              <w:rPr>
                <w:rFonts w:ascii="ＭＳ Ｐゴシック" w:eastAsia="ＭＳ Ｐゴシック" w:hAnsi="ＭＳ Ｐゴシック" w:hint="eastAsia"/>
                <w:color w:val="0070C0"/>
                <w:sz w:val="17"/>
                <w:szCs w:val="17"/>
              </w:rPr>
              <w:t>しているか</w:t>
            </w:r>
          </w:p>
          <w:p w14:paraId="4810D97A" w14:textId="77777777" w:rsidR="00A407AF" w:rsidRPr="008B7A81"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7"/>
                <w:szCs w:val="17"/>
              </w:rPr>
            </w:pPr>
            <w:r w:rsidRPr="00F64B31">
              <w:rPr>
                <w:rFonts w:ascii="ＭＳ Ｐゴシック" w:eastAsia="ＭＳ Ｐゴシック" w:hAnsi="ＭＳ Ｐゴシック" w:hint="eastAsia"/>
                <w:color w:val="0070C0"/>
                <w:sz w:val="17"/>
                <w:szCs w:val="17"/>
              </w:rPr>
              <w:t>導入目的を労使間で共有しているか</w:t>
            </w:r>
            <w:r>
              <w:rPr>
                <w:rFonts w:ascii="ＭＳ Ｐゴシック" w:eastAsia="ＭＳ Ｐゴシック" w:hAnsi="ＭＳ Ｐゴシック" w:hint="eastAsia"/>
                <w:color w:val="0070C0"/>
                <w:sz w:val="17"/>
                <w:szCs w:val="17"/>
              </w:rPr>
              <w:t xml:space="preserve">　等</w:t>
            </w:r>
          </w:p>
        </w:tc>
        <w:tc>
          <w:tcPr>
            <w:tcW w:w="1134" w:type="dxa"/>
          </w:tcPr>
          <w:p w14:paraId="4973FEF4"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P.21～</w:t>
            </w:r>
          </w:p>
        </w:tc>
        <w:tc>
          <w:tcPr>
            <w:tcW w:w="5150" w:type="dxa"/>
          </w:tcPr>
          <w:p w14:paraId="0208A41F"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208CE5B2"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w:t>
            </w:r>
            <w:bookmarkStart w:id="0" w:name="_GoBack"/>
            <w:bookmarkEnd w:id="0"/>
            <w:r w:rsidRPr="0057577C">
              <w:rPr>
                <w:rFonts w:ascii="ＭＳ Ｐゴシック" w:eastAsia="ＭＳ Ｐゴシック" w:hAnsi="ＭＳ Ｐゴシック" w:hint="eastAsia"/>
                <w:color w:val="0070C0"/>
                <w:sz w:val="17"/>
                <w:szCs w:val="17"/>
              </w:rPr>
              <w:t>況、実施内容等：</w:t>
            </w:r>
          </w:p>
        </w:tc>
        <w:tc>
          <w:tcPr>
            <w:tcW w:w="5150" w:type="dxa"/>
          </w:tcPr>
          <w:p w14:paraId="5854AC7D" w14:textId="4B9370B8"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・要検討事項、実施していない理由等：</w:t>
            </w:r>
          </w:p>
        </w:tc>
        <w:tc>
          <w:tcPr>
            <w:tcW w:w="5151" w:type="dxa"/>
          </w:tcPr>
          <w:p w14:paraId="436A2B8D"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A407AF" w:rsidRPr="009371B4" w14:paraId="6EEB2751" w14:textId="77777777" w:rsidTr="00B658DE">
        <w:trPr>
          <w:trHeight w:val="1701"/>
        </w:trPr>
        <w:tc>
          <w:tcPr>
            <w:tcW w:w="4531" w:type="dxa"/>
          </w:tcPr>
          <w:p w14:paraId="642387BF"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③導入に対する経営層のコミットメント強化</w:t>
            </w:r>
          </w:p>
          <w:p w14:paraId="421B8905" w14:textId="77777777" w:rsidR="00A407AF" w:rsidRPr="00F64B31"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sidRPr="00F64B31">
              <w:rPr>
                <w:rFonts w:ascii="ＭＳ Ｐゴシック" w:eastAsia="ＭＳ Ｐゴシック" w:hAnsi="ＭＳ Ｐゴシック" w:hint="eastAsia"/>
                <w:color w:val="0070C0"/>
                <w:sz w:val="17"/>
                <w:szCs w:val="17"/>
              </w:rPr>
              <w:t>従業員、管理職に対し制度の意義・内容を説明しているか</w:t>
            </w:r>
          </w:p>
          <w:p w14:paraId="35646E77"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sidRPr="00F64B31">
              <w:rPr>
                <w:rFonts w:ascii="ＭＳ Ｐゴシック" w:eastAsia="ＭＳ Ｐゴシック" w:hAnsi="ＭＳ Ｐゴシック" w:hint="eastAsia"/>
                <w:color w:val="0070C0"/>
                <w:sz w:val="17"/>
                <w:szCs w:val="17"/>
              </w:rPr>
              <w:t>経営層が従業員にメッセージを発信するなどして、制度実施に積極的に関与する姿勢を示しているか</w:t>
            </w:r>
            <w:r>
              <w:rPr>
                <w:rFonts w:ascii="ＭＳ Ｐゴシック" w:eastAsia="ＭＳ Ｐゴシック" w:hAnsi="ＭＳ Ｐゴシック" w:hint="eastAsia"/>
                <w:color w:val="0070C0"/>
                <w:sz w:val="17"/>
                <w:szCs w:val="17"/>
              </w:rPr>
              <w:t xml:space="preserve">　等</w:t>
            </w:r>
          </w:p>
        </w:tc>
        <w:tc>
          <w:tcPr>
            <w:tcW w:w="1134" w:type="dxa"/>
          </w:tcPr>
          <w:p w14:paraId="68EEA96A"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00747213">
              <w:rPr>
                <w:rFonts w:ascii="ＭＳ Ｐゴシック" w:eastAsia="ＭＳ Ｐゴシック" w:hAnsi="ＭＳ Ｐゴシック" w:hint="eastAsia"/>
                <w:sz w:val="20"/>
                <w:szCs w:val="20"/>
              </w:rPr>
              <w:t>22</w:t>
            </w:r>
            <w:r w:rsidRPr="00FC7271">
              <w:rPr>
                <w:rFonts w:ascii="ＭＳ Ｐゴシック" w:eastAsia="ＭＳ Ｐゴシック" w:hAnsi="ＭＳ Ｐゴシック" w:hint="eastAsia"/>
                <w:sz w:val="20"/>
                <w:szCs w:val="20"/>
              </w:rPr>
              <w:t>～</w:t>
            </w:r>
          </w:p>
        </w:tc>
        <w:tc>
          <w:tcPr>
            <w:tcW w:w="5150" w:type="dxa"/>
          </w:tcPr>
          <w:p w14:paraId="26E62DB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67746FA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78ECB0B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・要検討事項、実施していない理由等：</w:t>
            </w:r>
          </w:p>
        </w:tc>
        <w:tc>
          <w:tcPr>
            <w:tcW w:w="5151" w:type="dxa"/>
          </w:tcPr>
          <w:p w14:paraId="2B441BCC"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0C2B8C" w:rsidRPr="009371B4" w14:paraId="7547DD4F" w14:textId="77777777" w:rsidTr="00191F04">
        <w:tc>
          <w:tcPr>
            <w:tcW w:w="21116" w:type="dxa"/>
            <w:gridSpan w:val="5"/>
            <w:tcBorders>
              <w:bottom w:val="nil"/>
            </w:tcBorders>
            <w:shd w:val="clear" w:color="auto" w:fill="EDEDED" w:themeFill="accent3" w:themeFillTint="33"/>
          </w:tcPr>
          <w:p w14:paraId="4E502FD5" w14:textId="77777777" w:rsidR="000C2B8C" w:rsidRPr="00FC7271" w:rsidRDefault="000C2B8C" w:rsidP="00191F0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フェーズ２　制度を設計する</w:t>
            </w:r>
          </w:p>
        </w:tc>
      </w:tr>
      <w:tr w:rsidR="00A407AF" w:rsidRPr="009371B4" w14:paraId="2A1EA990" w14:textId="77777777" w:rsidTr="00B658DE">
        <w:trPr>
          <w:trHeight w:val="1701"/>
        </w:trPr>
        <w:tc>
          <w:tcPr>
            <w:tcW w:w="4531" w:type="dxa"/>
            <w:tcBorders>
              <w:top w:val="single" w:sz="4" w:space="0" w:color="auto"/>
            </w:tcBorders>
          </w:tcPr>
          <w:p w14:paraId="61022538"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①適用対象の設定</w:t>
            </w:r>
          </w:p>
          <w:p w14:paraId="2A5AC98F" w14:textId="77777777" w:rsidR="00A407AF" w:rsidRPr="00536507"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適用対象を全従業員としているか。</w:t>
            </w:r>
            <w:r w:rsidRPr="00536507">
              <w:rPr>
                <w:rFonts w:ascii="ＭＳ Ｐゴシック" w:eastAsia="ＭＳ Ｐゴシック" w:hAnsi="ＭＳ Ｐゴシック" w:hint="eastAsia"/>
                <w:color w:val="0070C0"/>
                <w:sz w:val="17"/>
                <w:szCs w:val="17"/>
              </w:rPr>
              <w:t>適用対象の従業員を限定する場合には、その理由を明確にし、従業員の理解を得ているか</w:t>
            </w:r>
          </w:p>
          <w:p w14:paraId="77F34238"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sidRPr="00536507">
              <w:rPr>
                <w:rFonts w:ascii="ＭＳ Ｐゴシック" w:eastAsia="ＭＳ Ｐゴシック" w:hAnsi="ＭＳ Ｐゴシック" w:hint="eastAsia"/>
                <w:color w:val="0070C0"/>
                <w:sz w:val="17"/>
                <w:szCs w:val="17"/>
              </w:rPr>
              <w:t>非正規社員への適用</w:t>
            </w:r>
            <w:r>
              <w:rPr>
                <w:rFonts w:ascii="ＭＳ Ｐゴシック" w:eastAsia="ＭＳ Ｐゴシック" w:hAnsi="ＭＳ Ｐゴシック" w:hint="eastAsia"/>
                <w:color w:val="0070C0"/>
                <w:sz w:val="17"/>
                <w:szCs w:val="17"/>
              </w:rPr>
              <w:t>、</w:t>
            </w:r>
            <w:r w:rsidRPr="00536507">
              <w:rPr>
                <w:rFonts w:ascii="ＭＳ Ｐゴシック" w:eastAsia="ＭＳ Ｐゴシック" w:hAnsi="ＭＳ Ｐゴシック" w:hint="eastAsia"/>
                <w:color w:val="0070C0"/>
                <w:sz w:val="17"/>
                <w:szCs w:val="17"/>
              </w:rPr>
              <w:t>出向者</w:t>
            </w:r>
            <w:r>
              <w:rPr>
                <w:rFonts w:ascii="ＭＳ Ｐゴシック" w:eastAsia="ＭＳ Ｐゴシック" w:hAnsi="ＭＳ Ｐゴシック" w:hint="eastAsia"/>
                <w:color w:val="0070C0"/>
                <w:sz w:val="17"/>
                <w:szCs w:val="17"/>
              </w:rPr>
              <w:t>や</w:t>
            </w:r>
            <w:r w:rsidRPr="00536507">
              <w:rPr>
                <w:rFonts w:ascii="ＭＳ Ｐゴシック" w:eastAsia="ＭＳ Ｐゴシック" w:hAnsi="ＭＳ Ｐゴシック" w:hint="eastAsia"/>
                <w:color w:val="0070C0"/>
                <w:sz w:val="17"/>
                <w:szCs w:val="17"/>
              </w:rPr>
              <w:t>取引先従業員</w:t>
            </w:r>
            <w:r>
              <w:rPr>
                <w:rFonts w:ascii="ＭＳ Ｐゴシック" w:eastAsia="ＭＳ Ｐゴシック" w:hAnsi="ＭＳ Ｐゴシック" w:hint="eastAsia"/>
                <w:color w:val="0070C0"/>
                <w:sz w:val="17"/>
                <w:szCs w:val="17"/>
              </w:rPr>
              <w:t>の取扱い</w:t>
            </w:r>
            <w:r w:rsidRPr="00536507">
              <w:rPr>
                <w:rFonts w:ascii="ＭＳ Ｐゴシック" w:eastAsia="ＭＳ Ｐゴシック" w:hAnsi="ＭＳ Ｐゴシック" w:hint="eastAsia"/>
                <w:color w:val="0070C0"/>
                <w:sz w:val="17"/>
                <w:szCs w:val="17"/>
              </w:rPr>
              <w:t>に</w:t>
            </w:r>
            <w:r>
              <w:rPr>
                <w:rFonts w:ascii="ＭＳ Ｐゴシック" w:eastAsia="ＭＳ Ｐゴシック" w:hAnsi="ＭＳ Ｐゴシック" w:hint="eastAsia"/>
                <w:color w:val="0070C0"/>
                <w:sz w:val="17"/>
                <w:szCs w:val="17"/>
              </w:rPr>
              <w:t>ついて</w:t>
            </w:r>
            <w:r w:rsidRPr="00536507">
              <w:rPr>
                <w:rFonts w:ascii="ＭＳ Ｐゴシック" w:eastAsia="ＭＳ Ｐゴシック" w:hAnsi="ＭＳ Ｐゴシック" w:hint="eastAsia"/>
                <w:color w:val="0070C0"/>
                <w:sz w:val="17"/>
                <w:szCs w:val="17"/>
              </w:rPr>
              <w:t>も</w:t>
            </w:r>
            <w:r>
              <w:rPr>
                <w:rFonts w:ascii="ＭＳ Ｐゴシック" w:eastAsia="ＭＳ Ｐゴシック" w:hAnsi="ＭＳ Ｐゴシック" w:hint="eastAsia"/>
                <w:color w:val="0070C0"/>
                <w:sz w:val="17"/>
                <w:szCs w:val="17"/>
              </w:rPr>
              <w:t>検討</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4A40654A"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P.24～</w:t>
            </w:r>
          </w:p>
        </w:tc>
        <w:tc>
          <w:tcPr>
            <w:tcW w:w="5150" w:type="dxa"/>
          </w:tcPr>
          <w:p w14:paraId="237AA6F8"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33643ED4"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27CB107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3443DA68"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08057CDF" w14:textId="77777777" w:rsidTr="00B658DE">
        <w:trPr>
          <w:trHeight w:val="1701"/>
        </w:trPr>
        <w:tc>
          <w:tcPr>
            <w:tcW w:w="4531" w:type="dxa"/>
            <w:tcBorders>
              <w:top w:val="nil"/>
            </w:tcBorders>
          </w:tcPr>
          <w:p w14:paraId="755BD4B9"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②インターバル時間数の設定</w:t>
            </w:r>
          </w:p>
          <w:p w14:paraId="5EFCAE1F" w14:textId="77777777" w:rsidR="00A407AF" w:rsidRPr="00536507"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労働時間だけでなく、通勤時間や睡眠時間、生活時間も考慮し</w:t>
            </w:r>
            <w:r w:rsidRPr="00536507">
              <w:rPr>
                <w:rFonts w:ascii="ＭＳ Ｐゴシック" w:eastAsia="ＭＳ Ｐゴシック" w:hAnsi="ＭＳ Ｐゴシック" w:hint="eastAsia"/>
                <w:color w:val="0070C0"/>
                <w:sz w:val="17"/>
                <w:szCs w:val="17"/>
              </w:rPr>
              <w:t>ているか</w:t>
            </w:r>
          </w:p>
          <w:p w14:paraId="1EB0D147" w14:textId="77777777" w:rsidR="00A407AF" w:rsidRPr="00FA6E83"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インターバル時間数は全社一律としているか。特定の従業員に対し異なるインターバル時間数を設定する場合、その理由を明確にし、</w:t>
            </w:r>
            <w:r w:rsidRPr="00536507">
              <w:rPr>
                <w:rFonts w:ascii="ＭＳ Ｐゴシック" w:eastAsia="ＭＳ Ｐゴシック" w:hAnsi="ＭＳ Ｐゴシック" w:hint="eastAsia"/>
                <w:color w:val="0070C0"/>
                <w:sz w:val="17"/>
                <w:szCs w:val="17"/>
              </w:rPr>
              <w:t>従業員の理解を得ているか</w:t>
            </w:r>
            <w:r>
              <w:rPr>
                <w:rFonts w:ascii="ＭＳ Ｐゴシック" w:eastAsia="ＭＳ Ｐゴシック" w:hAnsi="ＭＳ Ｐゴシック" w:hint="eastAsia"/>
                <w:color w:val="0070C0"/>
                <w:sz w:val="17"/>
                <w:szCs w:val="17"/>
              </w:rPr>
              <w:t xml:space="preserve">　等</w:t>
            </w:r>
          </w:p>
        </w:tc>
        <w:tc>
          <w:tcPr>
            <w:tcW w:w="1134" w:type="dxa"/>
          </w:tcPr>
          <w:p w14:paraId="0059477F"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P.2</w:t>
            </w:r>
            <w:r w:rsidRPr="00FC7271">
              <w:rPr>
                <w:rFonts w:ascii="ＭＳ Ｐゴシック" w:eastAsia="ＭＳ Ｐゴシック" w:hAnsi="ＭＳ Ｐゴシック"/>
                <w:sz w:val="20"/>
                <w:szCs w:val="20"/>
              </w:rPr>
              <w:t>6</w:t>
            </w:r>
            <w:r w:rsidRPr="00FC7271">
              <w:rPr>
                <w:rFonts w:ascii="ＭＳ Ｐゴシック" w:eastAsia="ＭＳ Ｐゴシック" w:hAnsi="ＭＳ Ｐゴシック" w:hint="eastAsia"/>
                <w:sz w:val="20"/>
                <w:szCs w:val="20"/>
              </w:rPr>
              <w:t>～</w:t>
            </w:r>
          </w:p>
        </w:tc>
        <w:tc>
          <w:tcPr>
            <w:tcW w:w="5150" w:type="dxa"/>
          </w:tcPr>
          <w:p w14:paraId="7C18772D"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51A0E15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23F2000E"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15F8E212"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689061F9" w14:textId="77777777" w:rsidTr="00B658DE">
        <w:trPr>
          <w:trHeight w:val="1701"/>
        </w:trPr>
        <w:tc>
          <w:tcPr>
            <w:tcW w:w="4531" w:type="dxa"/>
            <w:tcBorders>
              <w:top w:val="nil"/>
            </w:tcBorders>
          </w:tcPr>
          <w:p w14:paraId="5594308E"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③インターバル時間を確保することによって翌日の所定勤務開始時刻を超えてしまう場合の取扱いの設定</w:t>
            </w:r>
          </w:p>
          <w:p w14:paraId="3117A49C" w14:textId="77777777" w:rsidR="00A407AF" w:rsidRPr="00536507" w:rsidRDefault="00A407AF" w:rsidP="00A407AF">
            <w:pPr>
              <w:pStyle w:val="aa"/>
              <w:numPr>
                <w:ilvl w:val="0"/>
                <w:numId w:val="3"/>
              </w:numPr>
              <w:spacing w:line="280" w:lineRule="exact"/>
              <w:ind w:leftChars="0" w:left="313" w:hanging="284"/>
              <w:rPr>
                <w:rFonts w:ascii="ＭＳ Ｐゴシック" w:eastAsia="ＭＳ Ｐゴシック" w:hAnsi="ＭＳ Ｐゴシック"/>
                <w:color w:val="0070C0"/>
                <w:sz w:val="17"/>
                <w:szCs w:val="17"/>
              </w:rPr>
            </w:pPr>
            <w:r>
              <w:rPr>
                <w:rFonts w:ascii="ＭＳ Ｐゴシック" w:eastAsia="ＭＳ Ｐゴシック" w:hAnsi="ＭＳ Ｐゴシック" w:hint="eastAsia"/>
                <w:color w:val="0070C0"/>
                <w:sz w:val="17"/>
                <w:szCs w:val="17"/>
              </w:rPr>
              <w:t>働いたものとみなすのか、翌日の勤務時間を繰り下げるのか。働いたものとみなす場合、賃金控除を行うか</w:t>
            </w:r>
          </w:p>
          <w:p w14:paraId="7312B329"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フレックスタイム制や裁量労働制が適用される従業員の取扱いを検討しているか　等</w:t>
            </w:r>
          </w:p>
        </w:tc>
        <w:tc>
          <w:tcPr>
            <w:tcW w:w="1134" w:type="dxa"/>
          </w:tcPr>
          <w:p w14:paraId="2F701878"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30</w:t>
            </w:r>
            <w:r w:rsidRPr="00FC7271">
              <w:rPr>
                <w:rFonts w:ascii="ＭＳ Ｐゴシック" w:eastAsia="ＭＳ Ｐゴシック" w:hAnsi="ＭＳ Ｐゴシック" w:hint="eastAsia"/>
                <w:sz w:val="20"/>
                <w:szCs w:val="20"/>
              </w:rPr>
              <w:t>～</w:t>
            </w:r>
          </w:p>
        </w:tc>
        <w:tc>
          <w:tcPr>
            <w:tcW w:w="5150" w:type="dxa"/>
          </w:tcPr>
          <w:p w14:paraId="7A676EB5"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6D0F2204"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7898F4D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1EF643B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2C293D31" w14:textId="77777777" w:rsidTr="00B658DE">
        <w:trPr>
          <w:trHeight w:val="1701"/>
        </w:trPr>
        <w:tc>
          <w:tcPr>
            <w:tcW w:w="4531" w:type="dxa"/>
            <w:tcBorders>
              <w:top w:val="nil"/>
            </w:tcBorders>
          </w:tcPr>
          <w:p w14:paraId="060B8AE4"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④インターバル時間を確保できないことが認められるケースの設定</w:t>
            </w:r>
          </w:p>
          <w:p w14:paraId="03DC02DB" w14:textId="77777777" w:rsidR="00A407AF" w:rsidRPr="00704053"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適用除外の範囲、回数制限、判断者・判断手順、適用除外とした場合の健康確保措置（翌日の休暇取得推奨等）等を設定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p w14:paraId="2A663D9D" w14:textId="77777777" w:rsidR="00A407AF" w:rsidRPr="00704053" w:rsidRDefault="00A407AF" w:rsidP="00A407AF">
            <w:pPr>
              <w:spacing w:line="280" w:lineRule="exact"/>
              <w:rPr>
                <w:rFonts w:ascii="ＭＳ Ｐゴシック" w:eastAsia="ＭＳ Ｐゴシック" w:hAnsi="ＭＳ Ｐゴシック"/>
                <w:sz w:val="18"/>
                <w:szCs w:val="18"/>
              </w:rPr>
            </w:pPr>
          </w:p>
        </w:tc>
        <w:tc>
          <w:tcPr>
            <w:tcW w:w="1134" w:type="dxa"/>
          </w:tcPr>
          <w:p w14:paraId="2F567066"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4</w:t>
            </w:r>
            <w:r w:rsidRPr="00FC7271">
              <w:rPr>
                <w:rFonts w:ascii="ＭＳ Ｐゴシック" w:eastAsia="ＭＳ Ｐゴシック" w:hAnsi="ＭＳ Ｐゴシック" w:hint="eastAsia"/>
                <w:sz w:val="20"/>
                <w:szCs w:val="20"/>
              </w:rPr>
              <w:t>～</w:t>
            </w:r>
          </w:p>
        </w:tc>
        <w:tc>
          <w:tcPr>
            <w:tcW w:w="5150" w:type="dxa"/>
          </w:tcPr>
          <w:p w14:paraId="2222D405"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2D2C8AED"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20DA680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75D5F51D"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0156052A" w14:textId="77777777" w:rsidTr="00B658DE">
        <w:trPr>
          <w:trHeight w:val="1701"/>
        </w:trPr>
        <w:tc>
          <w:tcPr>
            <w:tcW w:w="4531" w:type="dxa"/>
            <w:tcBorders>
              <w:top w:val="nil"/>
            </w:tcBorders>
          </w:tcPr>
          <w:p w14:paraId="451D4AC1" w14:textId="77777777" w:rsidR="00A407AF" w:rsidRPr="00FC7271" w:rsidRDefault="00A407AF" w:rsidP="00A407AF">
            <w:pPr>
              <w:spacing w:line="280" w:lineRule="exact"/>
              <w:rPr>
                <w:rFonts w:ascii="ＭＳ Ｐゴシック" w:eastAsia="ＭＳ Ｐゴシック" w:hAnsi="ＭＳ Ｐゴシック"/>
                <w:sz w:val="19"/>
                <w:szCs w:val="19"/>
              </w:rPr>
            </w:pPr>
            <w:r w:rsidRPr="00FC7271">
              <w:rPr>
                <w:rFonts w:ascii="ＭＳ Ｐゴシック" w:eastAsia="ＭＳ Ｐゴシック" w:hAnsi="ＭＳ Ｐゴシック" w:hint="eastAsia"/>
                <w:sz w:val="19"/>
                <w:szCs w:val="19"/>
              </w:rPr>
              <w:t>⑤インターバル時間の確保に関する手続きの検討</w:t>
            </w:r>
          </w:p>
          <w:p w14:paraId="0FC9B2AC"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翌日の勤務開始時刻を繰り下げる場合や、適用除外を受ける際の申請手続きを設定</w:t>
            </w:r>
            <w:r w:rsidRPr="00536507">
              <w:rPr>
                <w:rFonts w:ascii="ＭＳ Ｐゴシック" w:eastAsia="ＭＳ Ｐゴシック" w:hAnsi="ＭＳ Ｐゴシック" w:hint="eastAsia"/>
                <w:color w:val="0070C0"/>
                <w:sz w:val="17"/>
                <w:szCs w:val="17"/>
              </w:rPr>
              <w:t>しているか</w:t>
            </w:r>
            <w:r>
              <w:rPr>
                <w:rFonts w:ascii="ＭＳ Ｐゴシック" w:eastAsia="ＭＳ Ｐゴシック" w:hAnsi="ＭＳ Ｐゴシック" w:hint="eastAsia"/>
                <w:color w:val="0070C0"/>
                <w:sz w:val="17"/>
                <w:szCs w:val="17"/>
              </w:rPr>
              <w:t xml:space="preserve">　等</w:t>
            </w:r>
          </w:p>
        </w:tc>
        <w:tc>
          <w:tcPr>
            <w:tcW w:w="1134" w:type="dxa"/>
          </w:tcPr>
          <w:p w14:paraId="47D81AD2"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7</w:t>
            </w:r>
            <w:r w:rsidRPr="00FC7271">
              <w:rPr>
                <w:rFonts w:ascii="ＭＳ Ｐゴシック" w:eastAsia="ＭＳ Ｐゴシック" w:hAnsi="ＭＳ Ｐゴシック" w:hint="eastAsia"/>
                <w:sz w:val="20"/>
                <w:szCs w:val="20"/>
              </w:rPr>
              <w:t>～</w:t>
            </w:r>
          </w:p>
        </w:tc>
        <w:tc>
          <w:tcPr>
            <w:tcW w:w="5150" w:type="dxa"/>
          </w:tcPr>
          <w:p w14:paraId="4889B5D1"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6610F05C"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32E1E6AB"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1F5B0185"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59A77376" w14:textId="77777777" w:rsidTr="00B658DE">
        <w:trPr>
          <w:trHeight w:val="1701"/>
        </w:trPr>
        <w:tc>
          <w:tcPr>
            <w:tcW w:w="4531" w:type="dxa"/>
            <w:tcBorders>
              <w:top w:val="nil"/>
            </w:tcBorders>
          </w:tcPr>
          <w:p w14:paraId="5C10D86D"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⑥インターバル時間を確保できなかった場合の対応方法の検討</w:t>
            </w:r>
          </w:p>
          <w:p w14:paraId="0D4BA1F9"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確保できなかった理由・経緯の把握、健康確保措置の実施、再発防止策の検討・実施等の対応方法を定めているか　等</w:t>
            </w:r>
          </w:p>
        </w:tc>
        <w:tc>
          <w:tcPr>
            <w:tcW w:w="1134" w:type="dxa"/>
          </w:tcPr>
          <w:p w14:paraId="29917A44"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9</w:t>
            </w:r>
            <w:r w:rsidRPr="00FC7271">
              <w:rPr>
                <w:rFonts w:ascii="ＭＳ Ｐゴシック" w:eastAsia="ＭＳ Ｐゴシック" w:hAnsi="ＭＳ Ｐゴシック" w:hint="eastAsia"/>
                <w:sz w:val="20"/>
                <w:szCs w:val="20"/>
              </w:rPr>
              <w:t>～</w:t>
            </w:r>
          </w:p>
        </w:tc>
        <w:tc>
          <w:tcPr>
            <w:tcW w:w="5150" w:type="dxa"/>
          </w:tcPr>
          <w:p w14:paraId="4D0C4E01"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6C196B41"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2634963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4A73DB0E"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265F337F" w14:textId="77777777" w:rsidTr="00B658DE">
        <w:trPr>
          <w:trHeight w:val="1701"/>
        </w:trPr>
        <w:tc>
          <w:tcPr>
            <w:tcW w:w="4531" w:type="dxa"/>
            <w:tcBorders>
              <w:top w:val="nil"/>
            </w:tcBorders>
          </w:tcPr>
          <w:p w14:paraId="08056BBC"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⑦労働時間管理方法の見直し</w:t>
            </w:r>
          </w:p>
          <w:p w14:paraId="5302B40F"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インターバル時間を確保できているかを確認できる</w:t>
            </w:r>
            <w:r w:rsidR="00B72AB4">
              <w:rPr>
                <w:rFonts w:ascii="ＭＳ Ｐゴシック" w:eastAsia="ＭＳ Ｐゴシック" w:hAnsi="ＭＳ Ｐゴシック" w:hint="eastAsia"/>
                <w:color w:val="0070C0"/>
                <w:sz w:val="17"/>
                <w:szCs w:val="17"/>
              </w:rPr>
              <w:t>「見える化の</w:t>
            </w:r>
            <w:r>
              <w:rPr>
                <w:rFonts w:ascii="ＭＳ Ｐゴシック" w:eastAsia="ＭＳ Ｐゴシック" w:hAnsi="ＭＳ Ｐゴシック" w:hint="eastAsia"/>
                <w:color w:val="0070C0"/>
                <w:sz w:val="17"/>
                <w:szCs w:val="17"/>
              </w:rPr>
              <w:t>仕組</w:t>
            </w:r>
            <w:r w:rsidR="00B72AB4">
              <w:rPr>
                <w:rFonts w:ascii="ＭＳ Ｐゴシック" w:eastAsia="ＭＳ Ｐゴシック" w:hAnsi="ＭＳ Ｐゴシック" w:hint="eastAsia"/>
                <w:color w:val="0070C0"/>
                <w:sz w:val="17"/>
                <w:szCs w:val="17"/>
              </w:rPr>
              <w:t>」</w:t>
            </w:r>
            <w:r w:rsidR="00677486">
              <w:rPr>
                <w:rFonts w:ascii="ＭＳ Ｐゴシック" w:eastAsia="ＭＳ Ｐゴシック" w:hAnsi="ＭＳ Ｐゴシック" w:hint="eastAsia"/>
                <w:color w:val="0070C0"/>
                <w:sz w:val="17"/>
                <w:szCs w:val="17"/>
              </w:rPr>
              <w:t>は</w:t>
            </w:r>
            <w:r>
              <w:rPr>
                <w:rFonts w:ascii="ＭＳ Ｐゴシック" w:eastAsia="ＭＳ Ｐゴシック" w:hAnsi="ＭＳ Ｐゴシック" w:hint="eastAsia"/>
                <w:color w:val="0070C0"/>
                <w:sz w:val="17"/>
                <w:szCs w:val="17"/>
              </w:rPr>
              <w:t>あるか</w:t>
            </w:r>
            <w:r w:rsidR="00B72AB4">
              <w:rPr>
                <w:rFonts w:ascii="ＭＳ Ｐゴシック" w:eastAsia="ＭＳ Ｐゴシック" w:hAnsi="ＭＳ Ｐゴシック" w:hint="eastAsia"/>
                <w:color w:val="0070C0"/>
                <w:sz w:val="17"/>
                <w:szCs w:val="17"/>
              </w:rPr>
              <w:t>（例：</w:t>
            </w:r>
            <w:r w:rsidR="00DA4F07">
              <w:rPr>
                <w:rFonts w:ascii="ＭＳ Ｐゴシック" w:eastAsia="ＭＳ Ｐゴシック" w:hAnsi="ＭＳ Ｐゴシック" w:hint="eastAsia"/>
                <w:color w:val="0070C0"/>
                <w:sz w:val="17"/>
                <w:szCs w:val="17"/>
              </w:rPr>
              <w:t>勤怠管理システムの改修</w:t>
            </w:r>
            <w:r w:rsidR="00B72AB4">
              <w:rPr>
                <w:rFonts w:ascii="ＭＳ Ｐゴシック" w:eastAsia="ＭＳ Ｐゴシック" w:hAnsi="ＭＳ Ｐゴシック" w:hint="eastAsia"/>
                <w:color w:val="0070C0"/>
                <w:sz w:val="17"/>
                <w:szCs w:val="17"/>
              </w:rPr>
              <w:t>による自動チェック、</w:t>
            </w:r>
            <w:r w:rsidR="00B72AB4" w:rsidRPr="00B72AB4">
              <w:rPr>
                <w:rFonts w:ascii="ＭＳ Ｐゴシック" w:eastAsia="ＭＳ Ｐゴシック" w:hAnsi="ＭＳ Ｐゴシック" w:hint="eastAsia"/>
                <w:color w:val="0070C0"/>
                <w:sz w:val="17"/>
                <w:szCs w:val="17"/>
              </w:rPr>
              <w:t>人事担当部署や上長による従業員への注意喚起</w:t>
            </w:r>
            <w:r w:rsidR="00B72AB4">
              <w:rPr>
                <w:rFonts w:ascii="ＭＳ Ｐゴシック" w:eastAsia="ＭＳ Ｐゴシック" w:hAnsi="ＭＳ Ｐゴシック" w:hint="eastAsia"/>
                <w:color w:val="0070C0"/>
                <w:sz w:val="17"/>
                <w:szCs w:val="17"/>
              </w:rPr>
              <w:t>等）</w:t>
            </w:r>
            <w:r>
              <w:rPr>
                <w:rFonts w:ascii="ＭＳ Ｐゴシック" w:eastAsia="ＭＳ Ｐゴシック" w:hAnsi="ＭＳ Ｐゴシック" w:hint="eastAsia"/>
                <w:color w:val="0070C0"/>
                <w:sz w:val="17"/>
                <w:szCs w:val="17"/>
              </w:rPr>
              <w:t xml:space="preserve">　等</w:t>
            </w:r>
          </w:p>
        </w:tc>
        <w:tc>
          <w:tcPr>
            <w:tcW w:w="1134" w:type="dxa"/>
          </w:tcPr>
          <w:p w14:paraId="29C27619"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Pr>
                <w:rFonts w:ascii="ＭＳ Ｐゴシック" w:eastAsia="ＭＳ Ｐゴシック" w:hAnsi="ＭＳ Ｐゴシック" w:hint="eastAsia"/>
                <w:sz w:val="20"/>
                <w:szCs w:val="20"/>
              </w:rPr>
              <w:t>40</w:t>
            </w:r>
            <w:r w:rsidRPr="00FC7271">
              <w:rPr>
                <w:rFonts w:ascii="ＭＳ Ｐゴシック" w:eastAsia="ＭＳ Ｐゴシック" w:hAnsi="ＭＳ Ｐゴシック" w:hint="eastAsia"/>
                <w:sz w:val="20"/>
                <w:szCs w:val="20"/>
              </w:rPr>
              <w:t>～</w:t>
            </w:r>
          </w:p>
        </w:tc>
        <w:tc>
          <w:tcPr>
            <w:tcW w:w="5150" w:type="dxa"/>
          </w:tcPr>
          <w:p w14:paraId="24395DF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47D6D87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・検討案、理由等：</w:t>
            </w:r>
          </w:p>
        </w:tc>
        <w:tc>
          <w:tcPr>
            <w:tcW w:w="5150" w:type="dxa"/>
          </w:tcPr>
          <w:p w14:paraId="183B6A95"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3A749AB0"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・見直し案等：</w:t>
            </w:r>
          </w:p>
        </w:tc>
      </w:tr>
      <w:tr w:rsidR="00A407AF" w:rsidRPr="009371B4" w14:paraId="69AB13A4" w14:textId="77777777" w:rsidTr="00B658DE">
        <w:trPr>
          <w:trHeight w:val="1701"/>
        </w:trPr>
        <w:tc>
          <w:tcPr>
            <w:tcW w:w="4531" w:type="dxa"/>
            <w:tcBorders>
              <w:top w:val="nil"/>
            </w:tcBorders>
          </w:tcPr>
          <w:p w14:paraId="2D4755A5"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⑧制度の根拠規定の整備（就業規則の改定、労働協約の締結等）</w:t>
            </w:r>
          </w:p>
          <w:p w14:paraId="24AD71DC"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インターバル制度について就業規則、労働協約、労使協定等で規定しているか　等</w:t>
            </w:r>
          </w:p>
        </w:tc>
        <w:tc>
          <w:tcPr>
            <w:tcW w:w="1134" w:type="dxa"/>
          </w:tcPr>
          <w:p w14:paraId="2CF5D360"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w:t>
            </w:r>
            <w:r w:rsidRPr="00FC7271">
              <w:rPr>
                <w:rFonts w:ascii="ＭＳ Ｐゴシック" w:eastAsia="ＭＳ Ｐゴシック" w:hAnsi="ＭＳ Ｐゴシック"/>
                <w:sz w:val="20"/>
                <w:szCs w:val="20"/>
              </w:rPr>
              <w:t>43</w:t>
            </w:r>
            <w:r w:rsidRPr="00FC7271">
              <w:rPr>
                <w:rFonts w:ascii="ＭＳ Ｐゴシック" w:eastAsia="ＭＳ Ｐゴシック" w:hAnsi="ＭＳ Ｐゴシック" w:hint="eastAsia"/>
                <w:sz w:val="20"/>
                <w:szCs w:val="20"/>
              </w:rPr>
              <w:t>～</w:t>
            </w:r>
          </w:p>
        </w:tc>
        <w:tc>
          <w:tcPr>
            <w:tcW w:w="5150" w:type="dxa"/>
          </w:tcPr>
          <w:p w14:paraId="6DBAC42B"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31048B9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166C4EAB"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5412A0AE"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B86CEA" w:rsidRPr="009371B4" w14:paraId="7BABCB75" w14:textId="77777777" w:rsidTr="00191F04">
        <w:tc>
          <w:tcPr>
            <w:tcW w:w="21116" w:type="dxa"/>
            <w:gridSpan w:val="5"/>
            <w:tcBorders>
              <w:bottom w:val="nil"/>
            </w:tcBorders>
            <w:shd w:val="clear" w:color="auto" w:fill="EDEDED" w:themeFill="accent3" w:themeFillTint="33"/>
          </w:tcPr>
          <w:p w14:paraId="631D7203" w14:textId="77777777" w:rsidR="00B86CEA" w:rsidRPr="00FC7271" w:rsidRDefault="00B86CEA" w:rsidP="00B86CEA">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フェーズ３　制度を導入・運用する</w:t>
            </w:r>
          </w:p>
        </w:tc>
      </w:tr>
      <w:tr w:rsidR="00A407AF" w:rsidRPr="009371B4" w14:paraId="158D94B6" w14:textId="77777777" w:rsidTr="00B658DE">
        <w:trPr>
          <w:trHeight w:val="1502"/>
        </w:trPr>
        <w:tc>
          <w:tcPr>
            <w:tcW w:w="4531" w:type="dxa"/>
            <w:tcBorders>
              <w:top w:val="single" w:sz="4" w:space="0" w:color="auto"/>
            </w:tcBorders>
          </w:tcPr>
          <w:p w14:paraId="08A936B4"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①管理職や従業員に対する、制度導入の意義や制度内容等の周知</w:t>
            </w:r>
          </w:p>
          <w:p w14:paraId="5EA439C8"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現場の管理職や従業員に対し、制度導入の意義や制度内容等を周知しているか　等</w:t>
            </w:r>
          </w:p>
        </w:tc>
        <w:tc>
          <w:tcPr>
            <w:tcW w:w="1134" w:type="dxa"/>
          </w:tcPr>
          <w:p w14:paraId="5D4995CE"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P.45～</w:t>
            </w:r>
          </w:p>
        </w:tc>
        <w:tc>
          <w:tcPr>
            <w:tcW w:w="5150" w:type="dxa"/>
          </w:tcPr>
          <w:p w14:paraId="6B04EC1B"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36E2B3B5"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3214EFCF"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6840B5DC"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A407AF" w:rsidRPr="009371B4" w14:paraId="548932C9" w14:textId="77777777" w:rsidTr="00B658DE">
        <w:trPr>
          <w:trHeight w:val="1502"/>
        </w:trPr>
        <w:tc>
          <w:tcPr>
            <w:tcW w:w="4531" w:type="dxa"/>
            <w:tcBorders>
              <w:top w:val="nil"/>
            </w:tcBorders>
          </w:tcPr>
          <w:p w14:paraId="738ED125"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②顧客や取引先に対する、制度を導入したことや制度内容の説明</w:t>
            </w:r>
          </w:p>
          <w:p w14:paraId="48FA8023"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顧客や取引先に対し、制度の趣旨・内容について説明しているか　等</w:t>
            </w:r>
          </w:p>
        </w:tc>
        <w:tc>
          <w:tcPr>
            <w:tcW w:w="1134" w:type="dxa"/>
          </w:tcPr>
          <w:p w14:paraId="4D1296C1"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P.48～</w:t>
            </w:r>
          </w:p>
        </w:tc>
        <w:tc>
          <w:tcPr>
            <w:tcW w:w="5150" w:type="dxa"/>
          </w:tcPr>
          <w:p w14:paraId="5D2E545C"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55673CFD"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749BA181"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118FCBC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A407AF" w:rsidRPr="009371B4" w14:paraId="56CACCD7" w14:textId="77777777" w:rsidTr="00B658DE">
        <w:trPr>
          <w:trHeight w:val="1502"/>
        </w:trPr>
        <w:tc>
          <w:tcPr>
            <w:tcW w:w="4531" w:type="dxa"/>
            <w:tcBorders>
              <w:top w:val="nil"/>
            </w:tcBorders>
          </w:tcPr>
          <w:p w14:paraId="2E6E2A47"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③インターバル時間を確保しやすい環境づくり</w:t>
            </w:r>
          </w:p>
          <w:p w14:paraId="5358B6CA"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0070C0"/>
                <w:sz w:val="17"/>
                <w:szCs w:val="17"/>
              </w:rPr>
              <w:t>労働時間削減、生産性向上のための取組を行っているか　等</w:t>
            </w:r>
          </w:p>
        </w:tc>
        <w:tc>
          <w:tcPr>
            <w:tcW w:w="1134" w:type="dxa"/>
          </w:tcPr>
          <w:p w14:paraId="0D694ACA"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P.50～</w:t>
            </w:r>
          </w:p>
        </w:tc>
        <w:tc>
          <w:tcPr>
            <w:tcW w:w="5150" w:type="dxa"/>
          </w:tcPr>
          <w:p w14:paraId="1B66CDF9"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51F891D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47FFAA6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36397F0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r w:rsidR="00153934" w:rsidRPr="009371B4" w14:paraId="3D0C0D2A" w14:textId="77777777" w:rsidTr="00191F04">
        <w:tc>
          <w:tcPr>
            <w:tcW w:w="21116" w:type="dxa"/>
            <w:gridSpan w:val="5"/>
            <w:tcBorders>
              <w:bottom w:val="nil"/>
            </w:tcBorders>
            <w:shd w:val="clear" w:color="auto" w:fill="EDEDED" w:themeFill="accent3" w:themeFillTint="33"/>
          </w:tcPr>
          <w:p w14:paraId="3D212EC5" w14:textId="77777777" w:rsidR="00153934" w:rsidRPr="00FC7271" w:rsidRDefault="00153934" w:rsidP="00153934">
            <w:pPr>
              <w:spacing w:line="280" w:lineRule="exact"/>
              <w:rPr>
                <w:rFonts w:ascii="ＭＳ Ｐゴシック" w:eastAsia="ＭＳ Ｐゴシック" w:hAnsi="ＭＳ Ｐゴシック"/>
                <w:b/>
                <w:bCs/>
                <w:sz w:val="20"/>
                <w:szCs w:val="20"/>
              </w:rPr>
            </w:pPr>
            <w:r w:rsidRPr="00FC7271">
              <w:rPr>
                <w:rFonts w:ascii="ＭＳ Ｐゴシック" w:eastAsia="ＭＳ Ｐゴシック" w:hAnsi="ＭＳ Ｐゴシック" w:hint="eastAsia"/>
                <w:b/>
                <w:bCs/>
                <w:sz w:val="20"/>
                <w:szCs w:val="20"/>
              </w:rPr>
              <w:t>フェーズ４　制度内容・運用方法を見直す</w:t>
            </w:r>
          </w:p>
        </w:tc>
      </w:tr>
      <w:tr w:rsidR="00A407AF" w:rsidRPr="009371B4" w14:paraId="62C0AC29" w14:textId="77777777" w:rsidTr="00B658DE">
        <w:trPr>
          <w:trHeight w:val="1644"/>
        </w:trPr>
        <w:tc>
          <w:tcPr>
            <w:tcW w:w="4531" w:type="dxa"/>
            <w:tcBorders>
              <w:top w:val="single" w:sz="4" w:space="0" w:color="auto"/>
            </w:tcBorders>
          </w:tcPr>
          <w:p w14:paraId="1261D6AF"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①制度の効果検証、課題等の洗い出し</w:t>
            </w:r>
          </w:p>
          <w:p w14:paraId="4E75A38E" w14:textId="77777777" w:rsidR="00A407AF" w:rsidRPr="00732E4D" w:rsidRDefault="00A407AF" w:rsidP="00A407AF">
            <w:pPr>
              <w:spacing w:line="280" w:lineRule="exact"/>
              <w:rPr>
                <w:rFonts w:ascii="ＭＳ Ｐゴシック" w:eastAsia="ＭＳ Ｐゴシック" w:hAnsi="ＭＳ Ｐゴシック"/>
                <w:sz w:val="19"/>
                <w:szCs w:val="19"/>
              </w:rPr>
            </w:pPr>
            <w:r w:rsidRPr="00732E4D">
              <w:rPr>
                <w:rFonts w:ascii="ＭＳ Ｐゴシック" w:eastAsia="ＭＳ Ｐゴシック" w:hAnsi="ＭＳ Ｐゴシック" w:hint="eastAsia"/>
                <w:sz w:val="19"/>
                <w:szCs w:val="19"/>
              </w:rPr>
              <w:t>②制度内容・運用方法の見直し（課題が明らかになった場合）</w:t>
            </w:r>
          </w:p>
          <w:p w14:paraId="12107055" w14:textId="77777777" w:rsidR="00A407AF" w:rsidRPr="009371B4" w:rsidRDefault="00A407AF" w:rsidP="00A407AF">
            <w:pPr>
              <w:pStyle w:val="aa"/>
              <w:numPr>
                <w:ilvl w:val="0"/>
                <w:numId w:val="3"/>
              </w:numPr>
              <w:spacing w:line="280" w:lineRule="exact"/>
              <w:ind w:leftChars="0" w:left="313" w:hanging="284"/>
              <w:rPr>
                <w:rFonts w:ascii="ＭＳ Ｐゴシック" w:eastAsia="ＭＳ Ｐゴシック" w:hAnsi="ＭＳ Ｐゴシック"/>
                <w:sz w:val="18"/>
                <w:szCs w:val="18"/>
              </w:rPr>
            </w:pPr>
            <w:r w:rsidRPr="001A32F4">
              <w:rPr>
                <w:rFonts w:ascii="ＭＳ Ｐゴシック" w:eastAsia="ＭＳ Ｐゴシック" w:hAnsi="ＭＳ Ｐゴシック" w:hint="eastAsia"/>
                <w:color w:val="0070C0"/>
                <w:sz w:val="17"/>
                <w:szCs w:val="17"/>
              </w:rPr>
              <w:t>定期的に、インターバル時間の確保状況、</w:t>
            </w:r>
            <w:r>
              <w:rPr>
                <w:rFonts w:ascii="ＭＳ Ｐゴシック" w:eastAsia="ＭＳ Ｐゴシック" w:hAnsi="ＭＳ Ｐゴシック" w:hint="eastAsia"/>
                <w:color w:val="0070C0"/>
                <w:sz w:val="17"/>
                <w:szCs w:val="17"/>
              </w:rPr>
              <w:t>制度導入の</w:t>
            </w:r>
            <w:r w:rsidRPr="001A32F4">
              <w:rPr>
                <w:rFonts w:ascii="ＭＳ Ｐゴシック" w:eastAsia="ＭＳ Ｐゴシック" w:hAnsi="ＭＳ Ｐゴシック" w:hint="eastAsia"/>
                <w:color w:val="0070C0"/>
                <w:sz w:val="17"/>
                <w:szCs w:val="17"/>
              </w:rPr>
              <w:t>効果等を検証し</w:t>
            </w:r>
            <w:r>
              <w:rPr>
                <w:rFonts w:ascii="ＭＳ Ｐゴシック" w:eastAsia="ＭＳ Ｐゴシック" w:hAnsi="ＭＳ Ｐゴシック" w:hint="eastAsia"/>
                <w:color w:val="0070C0"/>
                <w:sz w:val="17"/>
                <w:szCs w:val="17"/>
              </w:rPr>
              <w:t>、制度内容・運用方法の見直し・改善を検討・実施する仕組となっているか　等</w:t>
            </w:r>
          </w:p>
        </w:tc>
        <w:tc>
          <w:tcPr>
            <w:tcW w:w="1134" w:type="dxa"/>
          </w:tcPr>
          <w:p w14:paraId="1BB21604" w14:textId="77777777" w:rsidR="00A407AF" w:rsidRPr="00FC7271" w:rsidRDefault="00A407AF" w:rsidP="00A407AF">
            <w:pPr>
              <w:spacing w:line="280" w:lineRule="exact"/>
              <w:jc w:val="center"/>
              <w:rPr>
                <w:rFonts w:ascii="ＭＳ Ｐゴシック" w:eastAsia="ＭＳ Ｐゴシック" w:hAnsi="ＭＳ Ｐゴシック"/>
                <w:sz w:val="20"/>
                <w:szCs w:val="20"/>
              </w:rPr>
            </w:pPr>
            <w:r w:rsidRPr="00FC7271">
              <w:rPr>
                <w:rFonts w:ascii="ＭＳ Ｐゴシック" w:eastAsia="ＭＳ Ｐゴシック" w:hAnsi="ＭＳ Ｐゴシック" w:hint="eastAsia"/>
                <w:sz w:val="20"/>
                <w:szCs w:val="20"/>
              </w:rPr>
              <w:t>P.56～</w:t>
            </w:r>
          </w:p>
        </w:tc>
        <w:tc>
          <w:tcPr>
            <w:tcW w:w="5150" w:type="dxa"/>
          </w:tcPr>
          <w:p w14:paraId="1A036694"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・実施状況： □完了済　　□準備中　　□未準備</w:t>
            </w:r>
          </w:p>
          <w:p w14:paraId="0F830E6A"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・具体的実施状況、実施内容等：</w:t>
            </w:r>
          </w:p>
        </w:tc>
        <w:tc>
          <w:tcPr>
            <w:tcW w:w="5150" w:type="dxa"/>
          </w:tcPr>
          <w:p w14:paraId="31CCB966"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・要検討事項等：</w:t>
            </w:r>
          </w:p>
        </w:tc>
        <w:tc>
          <w:tcPr>
            <w:tcW w:w="5151" w:type="dxa"/>
          </w:tcPr>
          <w:p w14:paraId="15F13D13" w14:textId="77777777" w:rsidR="00A407AF" w:rsidRPr="0057577C" w:rsidRDefault="00A407AF" w:rsidP="00A407AF">
            <w:pPr>
              <w:spacing w:line="280" w:lineRule="exact"/>
              <w:rPr>
                <w:rFonts w:ascii="ＭＳ Ｐゴシック" w:eastAsia="ＭＳ Ｐゴシック" w:hAnsi="ＭＳ Ｐゴシック"/>
                <w:color w:val="0070C0"/>
                <w:sz w:val="17"/>
                <w:szCs w:val="17"/>
              </w:rPr>
            </w:pPr>
            <w:r w:rsidRPr="0057577C">
              <w:rPr>
                <w:rFonts w:ascii="ＭＳ Ｐゴシック" w:eastAsia="ＭＳ Ｐゴシック" w:hAnsi="ＭＳ Ｐゴシック" w:hint="eastAsia"/>
                <w:color w:val="0070C0"/>
                <w:sz w:val="17"/>
                <w:szCs w:val="17"/>
              </w:rPr>
              <w:t>・今後の実施内容等：</w:t>
            </w:r>
          </w:p>
        </w:tc>
      </w:tr>
    </w:tbl>
    <w:p w14:paraId="14998BD2" w14:textId="77777777" w:rsidR="009A7B48" w:rsidRPr="00704053" w:rsidRDefault="009A7B48" w:rsidP="00B658DE">
      <w:pPr>
        <w:spacing w:line="20" w:lineRule="exact"/>
        <w:rPr>
          <w:sz w:val="16"/>
          <w:szCs w:val="16"/>
        </w:rPr>
      </w:pPr>
    </w:p>
    <w:sectPr w:rsidR="009A7B48" w:rsidRPr="00704053" w:rsidSect="007D4203">
      <w:headerReference w:type="default" r:id="rId8"/>
      <w:pgSz w:w="23811" w:h="16838" w:orient="landscape" w:code="8"/>
      <w:pgMar w:top="1361" w:right="1418" w:bottom="1134" w:left="1418" w:header="624"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03BB8" w14:textId="77777777" w:rsidR="007672AA" w:rsidRDefault="007672AA" w:rsidP="00D70DE0">
      <w:r>
        <w:separator/>
      </w:r>
    </w:p>
  </w:endnote>
  <w:endnote w:type="continuationSeparator" w:id="0">
    <w:p w14:paraId="3B63050A" w14:textId="77777777" w:rsidR="007672AA" w:rsidRDefault="007672AA" w:rsidP="00D7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5B27B" w14:textId="77777777" w:rsidR="007672AA" w:rsidRDefault="007672AA" w:rsidP="00D70DE0">
      <w:r>
        <w:separator/>
      </w:r>
    </w:p>
  </w:footnote>
  <w:footnote w:type="continuationSeparator" w:id="0">
    <w:p w14:paraId="0DFAEF82" w14:textId="77777777" w:rsidR="007672AA" w:rsidRDefault="007672AA" w:rsidP="00D7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D9F47" w14:textId="77777777" w:rsidR="00704053" w:rsidRPr="000F103E" w:rsidRDefault="00D70DE0" w:rsidP="007D4203">
    <w:pPr>
      <w:pStyle w:val="a4"/>
      <w:spacing w:line="360" w:lineRule="exact"/>
      <w:rPr>
        <w:rFonts w:ascii="Meiryo UI" w:eastAsia="Meiryo UI" w:hAnsi="Meiryo UI"/>
        <w:sz w:val="24"/>
        <w:szCs w:val="24"/>
      </w:rPr>
    </w:pPr>
    <w:r w:rsidRPr="000F103E">
      <w:rPr>
        <w:rFonts w:ascii="Meiryo UI" w:eastAsia="Meiryo UI" w:hAnsi="Meiryo UI" w:hint="eastAsia"/>
        <w:sz w:val="24"/>
        <w:szCs w:val="24"/>
      </w:rPr>
      <w:t>勤務間インターバル制度導入・見直し　ワークシート</w:t>
    </w:r>
  </w:p>
  <w:p w14:paraId="39B40A16" w14:textId="77777777" w:rsidR="00704053" w:rsidRPr="000F103E" w:rsidRDefault="00704053" w:rsidP="007D4203">
    <w:pPr>
      <w:pStyle w:val="a4"/>
      <w:spacing w:line="340" w:lineRule="exact"/>
      <w:rPr>
        <w:rFonts w:ascii="Meiryo UI" w:eastAsia="Meiryo UI" w:hAnsi="Meiryo UI"/>
        <w:sz w:val="22"/>
        <w:szCs w:val="22"/>
      </w:rPr>
    </w:pPr>
    <w:r w:rsidRPr="000F103E">
      <w:rPr>
        <w:rFonts w:ascii="Meiryo UI" w:eastAsia="Meiryo UI" w:hAnsi="Meiryo UI" w:hint="eastAsia"/>
        <w:sz w:val="22"/>
        <w:szCs w:val="22"/>
      </w:rPr>
      <w:t>～PDCAサイクルの各フェーズにおいて労使間で十分に話し合うことが重要です。労使の話し合いを制度の導入・運用の土台として位置づけましょう。～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038"/>
    <w:multiLevelType w:val="hybridMultilevel"/>
    <w:tmpl w:val="28EA0A3C"/>
    <w:lvl w:ilvl="0" w:tplc="EFB214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70546"/>
    <w:multiLevelType w:val="hybridMultilevel"/>
    <w:tmpl w:val="DC203B6E"/>
    <w:lvl w:ilvl="0" w:tplc="F8045976">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663F5"/>
    <w:multiLevelType w:val="hybridMultilevel"/>
    <w:tmpl w:val="F67C8E4E"/>
    <w:lvl w:ilvl="0" w:tplc="B962885C">
      <w:start w:val="1"/>
      <w:numFmt w:val="bullet"/>
      <w:lvlText w:val=""/>
      <w:lvlJc w:val="left"/>
      <w:pPr>
        <w:ind w:left="420" w:hanging="420"/>
      </w:pPr>
      <w:rPr>
        <w:rFonts w:ascii="Wingdings" w:hAnsi="Wingdings" w:hint="default"/>
        <w:color w:val="0070C0"/>
        <w:sz w:val="17"/>
        <w:szCs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2"/>
    <w:rsid w:val="00023583"/>
    <w:rsid w:val="000C2B8C"/>
    <w:rsid w:val="000F103E"/>
    <w:rsid w:val="00153934"/>
    <w:rsid w:val="001A32F4"/>
    <w:rsid w:val="002043A5"/>
    <w:rsid w:val="003B2A9A"/>
    <w:rsid w:val="00503A26"/>
    <w:rsid w:val="00536507"/>
    <w:rsid w:val="0057577C"/>
    <w:rsid w:val="006320F3"/>
    <w:rsid w:val="00650B4F"/>
    <w:rsid w:val="00677486"/>
    <w:rsid w:val="006778A8"/>
    <w:rsid w:val="006E1697"/>
    <w:rsid w:val="00704053"/>
    <w:rsid w:val="00732E4D"/>
    <w:rsid w:val="007331EB"/>
    <w:rsid w:val="00747213"/>
    <w:rsid w:val="0076594A"/>
    <w:rsid w:val="007672AA"/>
    <w:rsid w:val="007D4203"/>
    <w:rsid w:val="00823B73"/>
    <w:rsid w:val="0084594C"/>
    <w:rsid w:val="008B7A81"/>
    <w:rsid w:val="008D2BBB"/>
    <w:rsid w:val="00932F55"/>
    <w:rsid w:val="009371B4"/>
    <w:rsid w:val="009A7B48"/>
    <w:rsid w:val="00A33F42"/>
    <w:rsid w:val="00A407AF"/>
    <w:rsid w:val="00AA295C"/>
    <w:rsid w:val="00B658DE"/>
    <w:rsid w:val="00B72AB4"/>
    <w:rsid w:val="00B86CEA"/>
    <w:rsid w:val="00BD0AC7"/>
    <w:rsid w:val="00CA4A2C"/>
    <w:rsid w:val="00CD258C"/>
    <w:rsid w:val="00CD72F3"/>
    <w:rsid w:val="00D70DE0"/>
    <w:rsid w:val="00DA4F07"/>
    <w:rsid w:val="00E022D4"/>
    <w:rsid w:val="00E406C3"/>
    <w:rsid w:val="00ED3EEF"/>
    <w:rsid w:val="00F64B31"/>
    <w:rsid w:val="00F711B0"/>
    <w:rsid w:val="00FA6E83"/>
    <w:rsid w:val="00FC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59C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imSun" w:cs="Times New Roman"/>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DE0"/>
    <w:pPr>
      <w:tabs>
        <w:tab w:val="center" w:pos="4252"/>
        <w:tab w:val="right" w:pos="8504"/>
      </w:tabs>
      <w:snapToGrid w:val="0"/>
    </w:pPr>
  </w:style>
  <w:style w:type="character" w:customStyle="1" w:styleId="a5">
    <w:name w:val="ヘッダー (文字)"/>
    <w:basedOn w:val="a0"/>
    <w:link w:val="a4"/>
    <w:uiPriority w:val="99"/>
    <w:rsid w:val="00D70DE0"/>
  </w:style>
  <w:style w:type="paragraph" w:styleId="a6">
    <w:name w:val="footer"/>
    <w:basedOn w:val="a"/>
    <w:link w:val="a7"/>
    <w:uiPriority w:val="99"/>
    <w:unhideWhenUsed/>
    <w:rsid w:val="00D70DE0"/>
    <w:pPr>
      <w:tabs>
        <w:tab w:val="center" w:pos="4252"/>
        <w:tab w:val="right" w:pos="8504"/>
      </w:tabs>
      <w:snapToGrid w:val="0"/>
    </w:pPr>
  </w:style>
  <w:style w:type="character" w:customStyle="1" w:styleId="a7">
    <w:name w:val="フッター (文字)"/>
    <w:basedOn w:val="a0"/>
    <w:link w:val="a6"/>
    <w:uiPriority w:val="99"/>
    <w:rsid w:val="00D70DE0"/>
  </w:style>
  <w:style w:type="paragraph" w:styleId="a8">
    <w:name w:val="Balloon Text"/>
    <w:basedOn w:val="a"/>
    <w:link w:val="a9"/>
    <w:uiPriority w:val="99"/>
    <w:semiHidden/>
    <w:unhideWhenUsed/>
    <w:rsid w:val="008B7A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A81"/>
    <w:rPr>
      <w:rFonts w:asciiTheme="majorHAnsi" w:eastAsiaTheme="majorEastAsia" w:hAnsiTheme="majorHAnsi" w:cstheme="majorBidi"/>
      <w:sz w:val="18"/>
      <w:szCs w:val="18"/>
    </w:rPr>
  </w:style>
  <w:style w:type="paragraph" w:styleId="aa">
    <w:name w:val="List Paragraph"/>
    <w:basedOn w:val="a"/>
    <w:uiPriority w:val="34"/>
    <w:qFormat/>
    <w:rsid w:val="008B7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6F05-1D96-4E9E-A065-63BE4500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2021-02-25T02:49:00Z</dcterms:created>
  <dcterms:modified xsi:type="dcterms:W3CDTF">2021-02-26T10:26:00Z</dcterms:modified>
</cp:coreProperties>
</file>